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天津市口腔医院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贯彻落实国家关于卫生健康方面的法律法规、政策、规划和标准，完成上级主管部门部署的医疗任务。组织实施医疗、预防、保健等卫生服务，为改善民生、提高公民健康水平，发挥公立医院的社会公益性作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2.贯彻落实医药卫生体制改革政策，推进以医疗质量、运营效率、持续发展和满意评价为核心的公立医院改革。坚持以健康为中心、以患者为中心，不断改善人民群众看病就医体验，构建和谐医患关系。</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 制定医学人才的培养机制与措施，建立科学的医学人才梯队，培养高层次医学人才。高质量完成各专业各层次的教学任务，发挥教学医院的实训作用。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 落实国家基本用药制度，加强药品的使用管理，确保用药安全。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5.持续开微笑列车、窝沟封闭、援非、援疆等工作，坚持进街道、进社区、进学校、进企业、进军营等，开展免费口腔健康讲座及义诊活动，旨在提高我市居民口腔健康水平，履行公立医院公益性</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单位本级（内设21个职能处/科室）和0个所属预算单位（不含本级），具体构成如下：</w:t>
      </w:r>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1.天津市口腔医院</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天津市口腔医院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23273000.00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202528000.00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679052256.28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633282741.57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20374097.89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2528000.00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925227354.17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836160741.57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89176000.63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3563519.09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3454131.06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3563519.09</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928790873.26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928790873.26</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925227354.17</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225801000.00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679052256.28</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20374097.89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722349354.17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22923000.00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679052256.28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20374097.89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719022354.17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19596000.00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679052256.28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20374097.89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719022354.17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19596000.00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679052256.28</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20374097.89</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2757000.00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2757000.00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1929000.00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1929000.00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2290402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2528000.00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天津市口腔医院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928790873.26</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925227354.17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23273000.00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202528000.00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679052256.28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20374097.89</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368213</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天津市口腔医院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928790873.26</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925227354.17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23273000.00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202528000.00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679052256.28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20374097.89</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天津市口腔医院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3563519.09</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3563519.09</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3563519.09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368213</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天津市口腔医院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3563519.09</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3563519.09</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3563519.09</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836160741.57</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479922799.81</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356237941.76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633282741.57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479922799.81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153359941.76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629955741.57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477165799.81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152789941.76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其他专科医院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629955741.57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477165799.81</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152789941.76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2757000.00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2757000.00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中医药事务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中医（民族医）药专项</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其他政府性基金及对应专项债务收入安排的支出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2290402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其他地方自行试点项目收益专项债券收入安排的支出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地方政府专项债务付息支出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2528000.00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23273000.00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202528000.00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350000.00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22923000.00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22923000.00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200000000.00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200000000.00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2528000.00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2528000.00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225801000.00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225801000.00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23273000.00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202528000.00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225801000.00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225801000.00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23273000.00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202528000.00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天津市口腔医院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23273000.00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18583000.00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18275000.00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4690000.00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22923000.00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18583000.00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18275000.00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4340000.00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19596000.00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15826000.00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15518000.00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3770000.00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其他专科医院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19596000.00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15826000.00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15518000.00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308000.00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3770000.00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2757000.00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2757000.00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2757000.00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中医药事务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中医（民族医）药专项</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16193000.00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9130000.00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4570000.00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2364000.00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2082000.00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1689000.00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393000.00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18275000.00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308000.00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202528000.00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202528000.00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202528000.00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其他政府性基金及对应专项债务收入安排的支出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其他地方自行试点项目收益专项债券收入安排的支出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地方政府专项债务付息支出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天津市口腔医院2025年度国有资本经营预算财政拨款收入支出决算表为空表。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天津市口腔医院2025年财政拨款“三公”经费支出决算表为空表。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天津市口腔医院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356237941.76</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4690000.00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202528000.00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149019941.76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153359941.76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149019941.76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152789941.76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149019941.76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152789941.76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3770000.00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149019941.76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住院医师规范化培训——2025年第二批中央医疗服务与保障能力提升（卫生健康人才培养）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天津市临床重点专科建设（2025年市级）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天津市口腔医院专科学科能力建设（2025年一般债券）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儿科医师岗位补助（2025年市级）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其他专科医院（科研项目资金）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937797.28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937797.28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其他专科医院（教学项目资金）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272872.00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272872.00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其他专科医院（梅江院区增建工程）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19623811.92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19623811.92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其他专科医院（专用材料固定资产）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128185460.56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128185460.56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基本公共卫生服务-儿童口腔防治项目（2025年市级）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精神卫生和慢性非传染性病防治（儿童口腔疾病综合干预）（2025年中央重大公共卫生服务）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其他政府性基金及对应专项债务收入安排的支出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其他地方自行试点项目收益专项债券收入安排的支出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2290402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天津市口腔医院梅江院区增建工程项目-2025年专项债券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天津市口腔医院梅江院区增建工程项目（2025年专项债付息）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928,790,873.26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增加179,587,823.61元，增长23.97%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我院本年度门诊量增长，相应的门急诊收入增长，另外本年度财政拨款较去年也增长明显</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一般公共预算财政拨款收入23,273,000.00元、政府性基金预算财政拨款收入202,528,000.00元、事业收入679,052,256.28元、其他收入20,374,097.89元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社会保障和就业支出350,000.00元、卫生健康支出633,282,741.57元、其他支出200,000,000.00元、债务付息支出2,528,000.00元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925,227,354.17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增加227,282,836.88元，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我院本年度门诊量增长，相应的门急诊收入增长，我院梅江院区增建工程财政项目拨款收入200000000元，较去年增幅较大</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一般公共预算财政拨款收入23,273,000.00元，占2.52%；政府性基金预算财政拨款收入202,528,000.00元，占21.89%；事业收入679,052,256.28元，占73.39%；其他收入20,374,097.89元，占2.20%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836,160,741.57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增加90,521,211.01元，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本年度我院梅江院区增建工程专项债财政项目拨款收入200000000元，相应财政项目拨款支出200000000元，较去年增幅较大</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基本支出479,922,799.81元，占57.40%；项目支出356,237,941.76元，占42.60%</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225,801,000.00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增加195,368,000.00元，增长641.96%，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我院梅江院区增建工程尚在建设中，针对梅江院区增建工程的专项债财政项目拨款收入较去年增幅较大，相对应的财政项目拨款支出也明显增长</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一般公共预算财政拨款23,273,000.00元、政府性基金预算财政拨款202,528,000.00元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社会保障和就业支出350,000.00元、卫生健康支出22,923,000.00元、其他支出200,000,000.00元、债务付息支出2,528,000.00元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天津市口腔医院2025年度一般公共预算财政拨款支出合计23,273,000.00元，占本年支出合计的2.78%。与2024年度相比，一般公共预算财政拨款支出</w:t>
      </w:r>
      <w:r>
        <w:rPr>
          <w:rFonts w:eastAsia="仿宋_GB2312" w:hint="eastAsia"/>
          <w:sz w:val="30"/>
          <w:szCs w:val="30"/>
          <w:highlight w:val="none"/>
          <w:lang w:val="en-US" w:eastAsia="zh-CN"/>
        </w:rPr>
        <w:t xml:space="preserve">增加2,973,000.00元</w:t>
      </w:r>
      <w:r>
        <w:rPr>
          <w:rFonts w:eastAsia="仿宋_GB2312" w:hint="eastAsia"/>
          <w:sz w:val="30"/>
          <w:szCs w:val="30"/>
          <w:highlight w:val="none"/>
          <w:lang w:val="en-US" w:eastAsia="zh-CN"/>
        </w:rPr>
        <w:t xml:space="preserve">，增长14.65%</w:t>
      </w:r>
      <w:r>
        <w:rPr>
          <w:rFonts w:eastAsia="仿宋_GB2312" w:hint="eastAsia"/>
          <w:sz w:val="30"/>
          <w:szCs w:val="30"/>
          <w:highlight w:val="none"/>
          <w:lang w:val="en-US" w:eastAsia="zh-CN"/>
        </w:rPr>
        <w:t xml:space="preserve">，主要原因是本年度我院上级财政专项补助、项目资金较上年增多，财政拨款规模相应提高。</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2025年度一般公共预算财政拨款支出23,273,000.00元，主要用于以下方面：</w:t>
      </w:r>
      <w:r>
        <w:rPr>
          <w:rFonts w:eastAsia="仿宋_GB2312" w:hint="eastAsia"/>
          <w:sz w:val="30"/>
          <w:szCs w:val="30"/>
          <w:highlight w:val="none"/>
        </w:rPr>
        <w:t xml:space="preserve">社会保障和就业支出（类）支出350,000.00元，占1.50%，卫生健康支出（类）支出22,923,000.00元，占98.50%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2025年度一般公共预算财政拨款支出年初预算为22,523,000.00元，支出决算为23,273,000.00元</w:t>
      </w:r>
      <w:r>
        <w:rPr>
          <w:rFonts w:eastAsia="仿宋_GB2312" w:hint="eastAsia"/>
          <w:sz w:val="30"/>
          <w:szCs w:val="30"/>
          <w:highlight w:val="none"/>
          <w:lang w:val="en-US" w:eastAsia="zh-CN"/>
        </w:rPr>
        <w:t xml:space="preserve">，完成年初预算的103.33%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350,000.00元，决算数大于年初预算数的主要原因是：此项支出中引进人才费用为财政年中调整调剂数，我院年初的支出预算中不包含此项目的预算。</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公立医院（款）其他专科医院（项）年初预算为19,196,000.00元，支出决算为19,596,000.00元，完成年初预算的102.08%，决算数大于年初预算数的主要原因是：本年度此项目中包含住院医师规范化培训项目及一般债券项目等年中财政科目调剂数，故决算数大于年初预算数。</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共卫生（款）基本公共卫生服务（项）年初预算为460,000.00元，支出决算为460,000.00元，完成年初预算的100.00%，决算数与年初预算数持平的主要原因是：预算编制科学合理，充分结合年度业务工作实际编制，并按政策要求及时足额支付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重大公共卫生服务（项）年初预算为100,000.00元，支出决算为100,000.00元，完成年初预算的100.00%，决算数与年初预算数持平的主要原因是：预算编制科学合理，充分结合年度业务工作实际编制，并按政策要求及时足额支付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事业单位医疗（项）年初预算为1,929,000.00元，支出决算为1,929,000.00元，完成年初预算的100.00%，决算数与年初预算数持平的主要原因是：预算编制科学合理，充分结合年度业务工作实际编制，并按政策要求及时足额支付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其他行政事业单位医疗支出（项）年初预算为828,000.00元，支出决算为828,000.00元，完成年初预算的100.00%，决算数与年初预算数持平的主要原因是：预算编制科学合理，充分结合年度业务工作实际编制，并按政策要求及时足额支付到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中医药事务（款）中医（民族医）药专项（项）年初预算为10,000.00元，支出决算为10,000.00元，完成年初预算的100.00%，决算数与年初预算数持平的主要原因是：预算编制科学合理，充分结合年度业务工作实际编制，并按政策要求及时足额支付到位。</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天津市口腔医院2025年度一般公共预算财政拨款基本支出合计18,583,000.00元，与2024年度相比</w:t>
      </w:r>
      <w:r>
        <w:rPr>
          <w:rFonts w:eastAsia="仿宋_GB2312" w:hint="eastAsia"/>
          <w:sz w:val="30"/>
          <w:szCs w:val="30"/>
          <w:highlight w:val="none"/>
          <w:lang w:val="en-US" w:eastAsia="zh-CN"/>
        </w:rPr>
        <w:t xml:space="preserve">增加1,437,000.00元，</w:t>
      </w:r>
      <w:r>
        <w:rPr>
          <w:rFonts w:eastAsia="仿宋_GB2312" w:hint="eastAsia"/>
          <w:sz w:val="30"/>
          <w:szCs w:val="30"/>
          <w:highlight w:val="none"/>
          <w:lang w:val="en-US" w:eastAsia="zh-CN"/>
        </w:rPr>
        <w:t xml:space="preserve">主要原因是本年度我院基本养老保险缴费、职业年金缴费、医疗保险缴费、物业管理费等各项财政基本拨款较去年均有所增加。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人员经费18,275,000.00元，主要包括</w:t>
      </w:r>
      <w:r>
        <w:rPr>
          <w:rFonts w:eastAsia="仿宋_GB2312" w:hint="eastAsia"/>
          <w:sz w:val="30"/>
          <w:szCs w:val="30"/>
          <w:highlight w:val="none"/>
          <w:lang w:val="en-US" w:eastAsia="zh-CN"/>
        </w:rPr>
        <w:t xml:space="preserve">机关事业单位基本养老保险缴费、职业年金缴费、职工基本医疗保险缴费、其他社会保障缴费、退休费、医疗费补助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公用经费308,000.00元，主要包括</w:t>
      </w:r>
      <w:r>
        <w:rPr>
          <w:rFonts w:eastAsia="仿宋_GB2312" w:hint="eastAsia"/>
          <w:sz w:val="30"/>
          <w:szCs w:val="30"/>
          <w:highlight w:val="none"/>
          <w:lang w:val="en-US" w:eastAsia="zh-CN"/>
        </w:rPr>
        <w:t xml:space="preserve">物业管理费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天津市口腔医院2025年度政府性基金预算财政拨款年初结转和结余0.00元，收入202,528,000.00元，支出202,528,000.00元，年末结转和结余0.00元。与2024年度相比，政府性基金预算财政拨款支出</w:t>
      </w:r>
      <w:r>
        <w:rPr>
          <w:rFonts w:eastAsia="仿宋_GB2312" w:hint="eastAsia"/>
          <w:sz w:val="30"/>
          <w:szCs w:val="30"/>
          <w:highlight w:val="none"/>
          <w:lang w:val="en-US" w:eastAsia="zh-CN"/>
        </w:rPr>
        <w:t xml:space="preserve">增加192,395,000.00元，</w:t>
      </w:r>
      <w:r>
        <w:rPr>
          <w:rFonts w:eastAsia="仿宋_GB2312" w:hint="eastAsia"/>
          <w:sz w:val="30"/>
          <w:szCs w:val="30"/>
          <w:highlight w:val="none"/>
          <w:lang w:val="en-US" w:eastAsia="zh-CN"/>
        </w:rPr>
        <w:t xml:space="preserve">增长1,898.70%，</w:t>
      </w:r>
      <w:r>
        <w:rPr>
          <w:rFonts w:eastAsia="仿宋_GB2312" w:hint="eastAsia"/>
          <w:sz w:val="30"/>
          <w:szCs w:val="30"/>
          <w:highlight w:val="none"/>
          <w:lang w:val="en-US" w:eastAsia="zh-CN"/>
        </w:rPr>
        <w:t xml:space="preserve">主要原因是本年度我院梅江院区增建工程专项债及债务付息财政项目拨款收入202528000元，较去年财政项目拨款收入增幅较大，财政项目拨款支出相应增大。</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2025年度政府性基金预算财政拨款支出202,528,000.00元，主要用于以下方面：</w:t>
      </w:r>
      <w:r>
        <w:rPr>
          <w:rFonts w:eastAsia="仿宋_GB2312" w:hint="eastAsia"/>
          <w:sz w:val="28"/>
          <w:szCs w:val="28"/>
          <w:highlight w:val="none"/>
        </w:rPr>
        <w:t xml:space="preserve">其他支出（类）支出200,000,000.00元，占98.75%，债务付息支出（类）支出2,528,000.00元，占1.25%</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2025年度政府性基金预算财政拨款支出年初预算为270,000.00元，支出决算为202,528,000.00元</w:t>
      </w:r>
      <w:r>
        <w:rPr>
          <w:rFonts w:eastAsia="仿宋_GB2312" w:hint="eastAsia"/>
          <w:sz w:val="30"/>
          <w:szCs w:val="30"/>
          <w:highlight w:val="none"/>
          <w:lang w:val="en-US" w:eastAsia="zh-CN"/>
        </w:rPr>
        <w:t xml:space="preserve">，完成年初预算的75,010.37%</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其他支出（类）其他政府性基金及对应专项债务收入安排的支出（款）其他地方自行试点项目收益专项债券收入安排的支出（项）年初预算为0.00元，支出决算为200,000,000.00元，决算数大于年初预算数的主要原因是：本项支出预算为财政年中调剂数，我院年初上报的预算中未包含此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债务付息支出（类）地方政府专项债务付息支出（款）其他地方自行试点项目收益专项债券付息支出（项）年初预算为270,000.00元，支出决算为2,528,000.00元，完成年初预算的936.30%，决算数大于年初预算数的主要原因是：本项决算支出中包含专项债利息年中调剂数，故决算数大于年初预算数。</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决算数与预算数持平的主要原因是我院本年度无“三公”经费财政拨款的收入和支出预算；</w:t>
      </w:r>
      <w:r>
        <w:rPr>
          <w:rFonts w:eastAsia="仿宋_GB2312" w:hint="eastAsia"/>
          <w:sz w:val="30"/>
          <w:szCs w:val="30"/>
          <w:highlight w:val="none"/>
          <w:lang w:val="en-US" w:eastAsia="zh-CN"/>
        </w:rPr>
        <w:t xml:space="preserve">决算数较上年持平的主要原因是我院本年度及上年度均无“三公”经费财政拨款的收入和支出预算。</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决算数与预算数持平的主要原因是我院本年度无因公出国（境）财政拨款预算，无因公出国（境）财政拨款支出；</w:t>
      </w:r>
      <w:r>
        <w:rPr>
          <w:rFonts w:eastAsia="仿宋_GB2312" w:hint="eastAsia"/>
          <w:sz w:val="30"/>
          <w:szCs w:val="30"/>
          <w:highlight w:val="none"/>
          <w:lang w:val="en-US" w:eastAsia="zh-CN"/>
        </w:rPr>
        <w:t xml:space="preserve">决算数较上年持平的主要原因是我院本年度及上年度均无因公出国（境）财政拨款预算，均无因公出国（境）财政拨款支出。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决算数与预算数持平的主要原因是我院本年度无公务用车购置及运行维护费的财政拨款预算和财政拨款支出；</w:t>
      </w:r>
      <w:r>
        <w:rPr>
          <w:rFonts w:eastAsia="仿宋_GB2312" w:hint="eastAsia"/>
          <w:sz w:val="30"/>
          <w:szCs w:val="30"/>
          <w:highlight w:val="none"/>
          <w:lang w:val="en-US" w:eastAsia="zh-CN"/>
        </w:rPr>
        <w:t xml:space="preserve">决算数较上年持平的主要原因是我院本年度及上年度均无公务用车购置及运行维护费的财政拨款预算和财政拨款支出。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决算数与预算数持平的主要原因是我院本年度无公务用车运行维护费的财政拨款预算和财政拨款支出；</w:t>
      </w:r>
      <w:r>
        <w:rPr>
          <w:rFonts w:eastAsia="仿宋_GB2312" w:hint="eastAsia"/>
          <w:sz w:val="30"/>
          <w:szCs w:val="30"/>
          <w:highlight w:val="none"/>
          <w:lang w:val="en-US" w:eastAsia="zh-CN"/>
        </w:rPr>
        <w:t xml:space="preserve">决算数较上年持平的主要原因是我院本年度及上年度均无公务用车运行维护费的财政拨款预算和财政拨款支出。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决算数与预算数持平的主要原因是本年度我院无购置公务用车预算，无购置公务用车支出；</w:t>
      </w:r>
      <w:r>
        <w:rPr>
          <w:rFonts w:eastAsia="仿宋_GB2312" w:hint="eastAsia"/>
          <w:sz w:val="30"/>
          <w:szCs w:val="30"/>
          <w:highlight w:val="none"/>
          <w:lang w:val="en-US" w:eastAsia="zh-CN"/>
        </w:rPr>
        <w:t xml:space="preserve">决算数较上年持平的主要原因是本年度及上年度我院均无购置公务用车预算，无购置公务用车支出。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决算数与预算数持平的主要原因是本年度我院无公务接待费财政拨款的预算及支出；</w:t>
      </w:r>
      <w:r>
        <w:rPr>
          <w:rFonts w:eastAsia="仿宋_GB2312" w:hint="eastAsia"/>
          <w:sz w:val="30"/>
          <w:szCs w:val="30"/>
          <w:highlight w:val="none"/>
          <w:lang w:val="en-US" w:eastAsia="zh-CN"/>
        </w:rPr>
        <w:t xml:space="preserve">决算数较上年持平的主要原因是本年度及上年度我院均无公务接待费财政拨款的预算及支出。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口腔医院2025年政府采购支出总额101,590,915.10元，其中：政府采购货物支出39,490,642.10元、政府采购工程支出37,458,745.00元、政府采购服务支出24,641,528.00元。授予中小企业合同金额22,159,502.00元，占政府采购支出总额的21.81%，其中：授予小微企业合同金额17,374,305.00元，占政府采购支出总额的17.10%；货物采购授予中小企业合同金额占货物支出金额的18.62%，工程采购授予中小企业合同金额占工程支出金额的4.81%，服务采购授予中小企业合同金额占服务支出金额的52.79%。</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截至2025年12月31日，天津市口腔医院共有车辆2辆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其他用车2辆</w:t>
      </w:r>
      <w:r>
        <w:rPr>
          <w:rFonts w:eastAsia="仿宋_GB2312" w:hint="eastAsia"/>
          <w:sz w:val="30"/>
          <w:szCs w:val="30"/>
          <w:highlight w:val="none"/>
          <w:lang w:val="en-US" w:eastAsia="zh-CN"/>
        </w:rPr>
        <w:t xml:space="preserve">，其他用车主要包括预防保健科流调用车1辆，院内日常公务用车1辆</w:t>
      </w:r>
      <w:r>
        <w:rPr>
          <w:rFonts w:eastAsia="仿宋_GB2312" w:hint="eastAsia"/>
          <w:sz w:val="30"/>
          <w:szCs w:val="30"/>
          <w:highlight w:val="none"/>
          <w:lang w:val="en-US" w:eastAsia="zh-CN"/>
        </w:rPr>
        <w:t xml:space="preserve">。单价100万元以上的设备21台（套）。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根据预算绩效管理要求，天津市口腔医院2025年度已对12个市级项目开展绩效自评，涉及金额205240000元，自评结果已随部门决算一并公开。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天津市口腔医院不属于乡、镇、街级单位，不涉及公开2025年度教育、医疗卫生、社会保障和就业、住房保障、涉农补贴等民生支出情况。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6D03BA77-9111-41BE-ADB5-B8D3209F9103}"/>
    <w:embedBold r:id="rId2" w:subsetted="1" w:fontKey="{FF11968F-6D79-4281-A912-C1F340AA79F5}"/>
  </w:font>
  <w:font w:name="Cambria">
    <w:panose1 w:val="02040503050406030204"/>
    <w:charset w:val="00"/>
    <w:family w:val="roman"/>
    <w:pitch w:val="default"/>
    <w:sig w:usb0="E00006FF" w:usb1="420024FF" w:usb2="02000000" w:usb3="00000000" w:csb0="2000019F" w:csb1="00000000"/>
    <w:embedRegular r:id="rId3" w:fontKey="{E5BC1804-D4ED-43FD-86E4-CF225923D362}"/>
  </w:font>
  <w:font w:name="Calibri">
    <w:panose1 w:val="020F0502020204030204"/>
    <w:charset w:val="00"/>
    <w:family w:val="swiss"/>
    <w:pitch w:val="default"/>
    <w:sig w:usb0="E4002EFF" w:usb1="C200247B" w:usb2="00000009" w:usb3="00000000" w:csb0="200001FF" w:csb1="00000000"/>
    <w:embedRegular r:id="rId4" w:fontKey="{FDEDBB77-32FB-4127-BA68-48B73846A044}"/>
  </w:font>
  <w:font w:name="黑体">
    <w:panose1 w:val="02010609060101010101"/>
    <w:charset w:val="FFFFFF86"/>
    <w:family w:val="auto"/>
    <w:pitch w:val="default"/>
    <w:sig w:usb0="800002BF" w:usb1="38CF7CFA" w:usb2="00000016" w:usb3="00000000" w:csb0="00040001" w:csb1="00000000"/>
    <w:embedRegular r:id="rId5" w:subsetted="1" w:fontKey="{55757F99-D3CD-40A7-9929-C240F25D051A}"/>
    <w:embedBold r:id="rId6" w:subsetted="1" w:fontKey="{0D1D9B67-6CF6-4960-B202-B2ACB39170D8}"/>
  </w:font>
  <w:font w:name="方正小标宋简体">
    <w:altName w:val="黑体"/>
    <w:panose1 w:val="02000000000000000000"/>
    <w:charset w:val="FFFFFF86"/>
    <w:family w:val="auto"/>
    <w:pitch w:val="default"/>
    <w:sig w:usb0="00000001" w:usb1="08000000" w:usb2="00000000" w:usb3="00000000" w:csb0="00040000" w:csb1="00000000"/>
    <w:embedRegular r:id="rId7" w:fontKey="{32D146FD-696C-417B-9A57-6F4F38F9EEC8}"/>
    <w:embedBold r:id="rId8" w:fontKey="{A0A47CF1-F5D6-4518-80BC-D652F5250514}"/>
  </w:font>
  <w:font w:name="仿宋">
    <w:panose1 w:val="02010609060101010101"/>
    <w:charset w:val="FFFFFF86"/>
    <w:family w:val="auto"/>
    <w:pitch w:val="default"/>
    <w:sig w:usb0="800002BF" w:usb1="38CF7CFA" w:usb2="00000016" w:usb3="00000000" w:csb0="00040001" w:csb1="00000000"/>
    <w:embedRegular r:id="rId9" w:subsetted="1" w:fontKey="{A1F7CA4B-6673-4D73-B6BD-6137D7A0AB7C}"/>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3691880F-0D38-4462-B8B1-690E108CC7B3}"/>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27079E07-C7F5-47D4-A78E-A1342FD2C141}"/>
    <w:embedBold r:id="rId12" w:subsetted="1" w:fontKey="{36A6CDB7-1914-4C89-8500-A15FE6104092}"/>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23</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36</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